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ind w:hanging="284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25. számú határozat előterjesztése</w:t>
      </w:r>
    </w:p>
    <w:p w:rsidR="00000000" w:rsidDel="00000000" w:rsidP="00000000" w:rsidRDefault="00000000" w:rsidRPr="00000000" w14:paraId="00000002">
      <w:pPr>
        <w:spacing w:after="200" w:line="240" w:lineRule="auto"/>
        <w:ind w:hanging="284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40" w:lineRule="auto"/>
        <w:ind w:hanging="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Jelen előterjesztés tárgya a Hévíz-Balaton Airport Kft. 2022. évi Üzleti Tervének elfogadása.</w:t>
      </w:r>
    </w:p>
    <w:p w:rsidR="00000000" w:rsidDel="00000000" w:rsidP="00000000" w:rsidRDefault="00000000" w:rsidRPr="00000000" w14:paraId="00000005">
      <w:pPr>
        <w:spacing w:after="20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Előzmények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Kormány a Hévíz Város Önkormányzatának a HÉVÍZ-BALATON AIRPORT Korlátolt Felelősségű Társaságban (a továbbiakban: HBA) fennálló 90%-os részesedésének megvásárlásáról és a szükséges források biztosításáról szóló 1511/2020. (VIII. 12.) Korm. határozattal döntött arról, hogy a HBA-ban Hévíz Város Önkormányzatának 90 %-os társasági részesedése a magyar állam által megvásárlásra kerüljön és a részesedés felett a Magyar Turisztikai Ügynökség Zártkörűen Működő Részvénytársaság kerüljön tulajdonosi jogkör gyakorlóként kijelölésre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[Hévíz Város Önkormányzata, valamint a Magyar Turisztikai Ügynökség Zártkörűen Működő Részvénytársaság a továbbiakban együttesen: Tulajdonosok].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2020. november 12-től az egyes állami tulajdonban álló gazdasági társaságok felett az államot megillető tulajdonosi jogok és kötelezettségek összességét gyakorló személyek kijelöléséről szóló 1/2018. (VI. 25.) NVTNM rendelet 3. melléklet 5. pontja alapján a HBA-t, mint gazdasági társaság magyar államot megillető tulajdonosi jogok és kötelezettségek összességét a Magyar Turisztikai Ügynökség Zártkörűen működő Részvénytársaság gyakorolja.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80" w:before="36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2021. április 1-jén a HBA, az SGH Aviation Hungary Kft., Zalavár Község Önkormányzata, valamint Sármellék Község Önkormányzata szerződésátruházási megállapodást írtak alá, melynek következtében a jogelőd SGH Aviation Hungary Kft.-t megillető jogok és kötelezettségek a HBA-ra szálltak át, ennek keretében különösen ingóságok, ingatlanok adásvételére,  az SGH Aviation Hungary Kft. által kötött bérleti szerződés, valamint a FLY BALATON ábrás logó szellemi alkotáshoz fűződő jog átruházására került sor. </w:t>
      </w:r>
    </w:p>
    <w:p w:rsidR="00000000" w:rsidDel="00000000" w:rsidP="00000000" w:rsidRDefault="00000000" w:rsidRPr="00000000" w14:paraId="0000000A">
      <w:pPr>
        <w:spacing w:after="80" w:before="36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2021. június 14-én a szerződésátruházási megállapodásban a „Külső Területek Albérleti Szerződései” ellenértékeként HBA 173.000.000,- Ft, azaz egyszázhetvenhárommillió forint + áfa, összesen 219.710.000,-Ft, azaz kettőszáztizenkilencmillió-hétszáztízezer  forint összeget fizetett meg az SGH Aviation Hungary Kft. részére, amely következtében a HBA javára a szerződésátruházási megállapodásban rögzített 16 db ingatlan vonatkozásában jelzálogjog került bejegyzésre. </w:t>
      </w:r>
    </w:p>
    <w:p w:rsidR="00000000" w:rsidDel="00000000" w:rsidP="00000000" w:rsidRDefault="00000000" w:rsidRPr="00000000" w14:paraId="0000000B">
      <w:pPr>
        <w:spacing w:after="80" w:before="36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fenti megállapodással összefüggésben, - szintén 2021. április 1-jén kelt - a HBA és az SGH Aviation Hungary Kft. által megkötött adásvételi szerződések értelmében mintegy 64.130.000 Ft+ÁFA összegű ingó, és mintegy nettó 662.800.000 Ft összegű ingatlanvagyon vásárlására került sor. Az ingóságok és ingatlanok vételára 2021. április 30-ig megfizetésre került.</w:t>
      </w:r>
    </w:p>
    <w:p w:rsidR="00000000" w:rsidDel="00000000" w:rsidP="00000000" w:rsidRDefault="00000000" w:rsidRPr="00000000" w14:paraId="0000000C">
      <w:pPr>
        <w:spacing w:after="80" w:before="36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HBA tulajdonosi szerkezetében bekövetkezett változásra, továbbá a HBA alapvető kontraktuális viszonyainak 2021. júniusi rendezésére tekintettel soron kívül szükségessé vált a HBA 2021. évi Üzleti Tervének (a továbbiakban: Üzleti Terv) elfogadása annak érdekében, hogy Tulajdonosok átfogó képet kapjanak a HBA aktuális pénzügyi helyzetéről.</w:t>
      </w:r>
    </w:p>
    <w:p w:rsidR="00000000" w:rsidDel="00000000" w:rsidP="00000000" w:rsidRDefault="00000000" w:rsidRPr="00000000" w14:paraId="0000000D">
      <w:pPr>
        <w:spacing w:after="280" w:before="28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Jelen előterjesztésről a Taggyűlés az „a veszélyhelyzet során a személy- és vagyonegyesítő szervezetek működésére vonatkozó eltérő rendelkezések újbóli bevezetéséről” szóló 502/2020. (XI. 16.) Korm. rendelet 3. § (2) és (3) bekezdése, valamint a HBA Társasági Szerződésének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11.17.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pontja értelmében, ülés tartása nélkül, írásbeli szavazás keretében dönt. </w:t>
      </w:r>
    </w:p>
    <w:p w:rsidR="00000000" w:rsidDel="00000000" w:rsidP="00000000" w:rsidRDefault="00000000" w:rsidRPr="00000000" w14:paraId="0000000E">
      <w:pPr>
        <w:spacing w:after="20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Vezetői Összefoglaló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Hévíz-Balaton Airport Kft 2021. évi működésére a világjárvány erőteljesen rányomta bélyegét, így nem ismert, hogy a repülőtér mikortól tud rendszeres járatokat fogadni. Ezért a 2022. évi Üzleti Terv elkészítésénél elsősorban a működés biztonságos fenntartása a cél. </w:t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2022. évi eredményterv kissé a 2021. évi várható alatt marad. 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Az értékesítés nettó árbevétele 2022-ben tervezetten 185.045 eFt, mely 72.400 eFt-tal, azaz 64,27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%-kal magasabb a 2021. évi várható értéknél.</w:t>
      </w:r>
    </w:p>
    <w:p w:rsidR="00000000" w:rsidDel="00000000" w:rsidP="00000000" w:rsidRDefault="00000000" w:rsidRPr="00000000" w14:paraId="00000014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2022. évi kiadások az elmúlt évek költségelemei alapján kerültek tervezésre, ugyanakkor az Uniós előírások miatt jelentős karbantartási és beruházási, valamint létszámfejlesztési feladatok hárulnak a repülőtérre. A költségeket a társaság működési támogatásból kívánja fedezni. Az anyagjellegű, személyi jellegű, egyéb, valamint a pénzügyi műveletek ráfordításainak tervezett nettó értéke 746.660 eFt. </w:t>
      </w:r>
    </w:p>
    <w:p w:rsidR="00000000" w:rsidDel="00000000" w:rsidP="00000000" w:rsidRDefault="00000000" w:rsidRPr="00000000" w14:paraId="00000016">
      <w:pPr>
        <w:spacing w:after="200" w:line="240" w:lineRule="auto"/>
        <w:ind w:hanging="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Ülés tartása nélküli döntéshozatal</w:t>
      </w:r>
    </w:p>
    <w:p w:rsidR="00000000" w:rsidDel="00000000" w:rsidP="00000000" w:rsidRDefault="00000000" w:rsidRPr="00000000" w14:paraId="00000017">
      <w:pPr>
        <w:spacing w:after="200" w:line="240" w:lineRule="auto"/>
        <w:ind w:left="4248" w:firstLine="708.0000000000001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2021. 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25.  számú határozattervezet: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Taggyűlés a Társaság 2022. évi üzleti tervét 1.492.874.011,- Ft azaz Egymilliárd-négyszázkilencvenkettő-nyolcszázhetvennégyezer-tizenegy forint mérlegfőösszeggel, és 520.762,- Ft azaz ötszázhúszezer-hétszázhatvankettő forint adózott eredménnyel elfogadja.  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</w:rPr>
      </w:pPr>
      <w:bookmarkStart w:colFirst="0" w:colLast="0" w:name="_heading=h.iyccxe3da5u6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armenoRegularHU"/>
  <w:font w:name="BarmenoBoldH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  <w:t xml:space="preserve">    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165850" cy="58419"/>
              <wp:effectExtent b="0" l="0" r="0" t="0"/>
              <wp:wrapNone/>
              <wp:docPr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flipH="1" rot="10800000">
                        <a:off x="2269425" y="3757141"/>
                        <a:ext cx="6153150" cy="45719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cap="flat" cmpd="sng" w="12700">
                        <a:solidFill>
                          <a:srgbClr val="31538F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165850" cy="58419"/>
              <wp:effectExtent b="0" l="0" r="0" t="0"/>
              <wp:wrapNone/>
              <wp:docPr id="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65850" cy="5841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1"/>
      <w:tblW w:w="8086.0" w:type="dxa"/>
      <w:jc w:val="left"/>
      <w:tblInd w:w="0.0" w:type="dxa"/>
      <w:tblLayout w:type="fixed"/>
      <w:tblLook w:val="0400"/>
    </w:tblPr>
    <w:tblGrid>
      <w:gridCol w:w="6660"/>
      <w:gridCol w:w="1280"/>
      <w:gridCol w:w="146"/>
      <w:tblGridChange w:id="0">
        <w:tblGrid>
          <w:gridCol w:w="6660"/>
          <w:gridCol w:w="1280"/>
          <w:gridCol w:w="146"/>
        </w:tblGrid>
      </w:tblGridChange>
    </w:tblGrid>
    <w:tr>
      <w:trPr>
        <w:cantSplit w:val="0"/>
        <w:trHeight w:val="1145" w:hRule="atLeast"/>
        <w:tblHeader w:val="0"/>
      </w:trPr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1F">
          <w:pPr>
            <w:spacing w:after="20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Kft.   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rtl w:val="0"/>
            </w:rPr>
            <w:t xml:space="preserve">-     </w:t>
          </w:r>
          <w:r w:rsidDel="00000000" w:rsidR="00000000" w:rsidRPr="00000000">
            <w:rPr>
              <w:rFonts w:ascii="BarmenoBoldHU" w:cs="BarmenoBoldHU" w:eastAsia="BarmenoBoldHU" w:hAnsi="BarmenoBoldHU"/>
              <w:b w:val="1"/>
              <w:color w:val="000000"/>
              <w:sz w:val="20"/>
              <w:szCs w:val="20"/>
              <w:rtl w:val="0"/>
            </w:rPr>
            <w:t xml:space="preserve">Hévíz-Balaton Airport / LHSM-SOB</w:t>
            <w:br w:type="textWrapping"/>
          </w:r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H-8391 Sármellék, Repülőtér  Tel: (+36-83) 200-300  Fax: (+36-83) 200-301</w:t>
            <w:br w:type="textWrapping"/>
            <w:t xml:space="preserve">E-mail: </w:t>
          </w:r>
          <w:hyperlink r:id="rId2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info@hevizairport.com</w:t>
            </w:r>
          </w:hyperlink>
          <w:r w:rsidDel="00000000" w:rsidR="00000000" w:rsidRPr="00000000">
            <w:rPr>
              <w:rFonts w:ascii="BarmenoRegularHU" w:cs="BarmenoRegularHU" w:eastAsia="BarmenoRegularHU" w:hAnsi="BarmenoRegularHU"/>
              <w:color w:val="000000"/>
              <w:sz w:val="20"/>
              <w:szCs w:val="20"/>
              <w:rtl w:val="0"/>
            </w:rPr>
            <w:t xml:space="preserve">    Web: </w:t>
          </w:r>
          <w:hyperlink r:id="rId3">
            <w:r w:rsidDel="00000000" w:rsidR="00000000" w:rsidRPr="00000000">
              <w:rPr>
                <w:rFonts w:ascii="BarmenoRegularHU" w:cs="BarmenoRegularHU" w:eastAsia="BarmenoRegularHU" w:hAnsi="BarmenoRegularHU"/>
                <w:color w:val="0000ff"/>
                <w:sz w:val="20"/>
                <w:szCs w:val="20"/>
                <w:u w:val="single"/>
                <w:rtl w:val="0"/>
              </w:rPr>
              <w:t xml:space="preserve">www.hevizairport.com</w:t>
            </w:r>
          </w:hyperlink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20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Fonts w:ascii="Calibri" w:cs="Calibri" w:eastAsia="Calibri" w:hAnsi="Calibri"/>
              <w:color w:val="000000"/>
            </w:rPr>
            <w:drawing>
              <wp:inline distB="0" distT="0" distL="0" distR="0">
                <wp:extent cx="714375" cy="733425"/>
                <wp:effectExtent b="0" l="0" r="0" t="0"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top w:w="0.0" w:type="dxa"/>
            <w:left w:w="70.0" w:type="dxa"/>
            <w:bottom w:w="0.0" w:type="dxa"/>
            <w:right w:w="70.0" w:type="dxa"/>
          </w:tcMar>
        </w:tcPr>
        <w:p w:rsidR="00000000" w:rsidDel="00000000" w:rsidP="00000000" w:rsidRDefault="00000000" w:rsidRPr="00000000" w14:paraId="00000021">
          <w:pPr>
            <w:spacing w:after="0" w:line="240" w:lineRule="auto"/>
            <w:rPr>
              <w:rFonts w:ascii="Times New Roman" w:cs="Times New Roman" w:eastAsia="Times New Roman" w:hAnsi="Times New Roman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609850" cy="647700"/>
          <wp:effectExtent b="0" l="0" r="0" t="0"/>
          <wp:docPr descr="A képen szöveg, clipart látható&#10;&#10;Automatikusan generált leírás" id="8" name="image1.jpg"/>
          <a:graphic>
            <a:graphicData uri="http://schemas.openxmlformats.org/drawingml/2006/picture">
              <pic:pic>
                <pic:nvPicPr>
                  <pic:cNvPr descr="A képen szöveg, clipart látható&#10;&#10;Automatikusan generált leírás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0985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</w:style>
  <w:style w:type="paragraph" w:styleId="Cmsor1">
    <w:name w:val="heading 1"/>
    <w:basedOn w:val="Norml"/>
    <w:next w:val="Norml"/>
    <w:link w:val="Cmsor1Char"/>
    <w:uiPriority w:val="9"/>
    <w:qFormat w:val="1"/>
    <w:rsid w:val="00AB4416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Listaszerbekezds">
    <w:name w:val="List Paragraph"/>
    <w:basedOn w:val="Norml"/>
    <w:uiPriority w:val="34"/>
    <w:qFormat w:val="1"/>
    <w:rsid w:val="0009269D"/>
    <w:pPr>
      <w:ind w:left="720"/>
      <w:contextualSpacing w:val="1"/>
    </w:pPr>
  </w:style>
  <w:style w:type="character" w:styleId="Cmsor1Char" w:customStyle="1">
    <w:name w:val="Címsor 1 Char"/>
    <w:basedOn w:val="Bekezdsalapbettpusa"/>
    <w:link w:val="Cmsor1"/>
    <w:uiPriority w:val="9"/>
    <w:rsid w:val="00AB4416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lfej">
    <w:name w:val="header"/>
    <w:basedOn w:val="Norml"/>
    <w:link w:val="lfejChar"/>
    <w:uiPriority w:val="99"/>
    <w:unhideWhenUsed w:val="1"/>
    <w:rsid w:val="00A06881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A06881"/>
  </w:style>
  <w:style w:type="paragraph" w:styleId="llb">
    <w:name w:val="footer"/>
    <w:basedOn w:val="Norml"/>
    <w:link w:val="llbChar"/>
    <w:uiPriority w:val="99"/>
    <w:unhideWhenUsed w:val="1"/>
    <w:rsid w:val="00A06881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A06881"/>
  </w:style>
  <w:style w:type="paragraph" w:styleId="Buborkszveg">
    <w:name w:val="Balloon Text"/>
    <w:basedOn w:val="Norml"/>
    <w:link w:val="BuborkszvegChar"/>
    <w:uiPriority w:val="99"/>
    <w:semiHidden w:val="1"/>
    <w:unhideWhenUsed w:val="1"/>
    <w:rsid w:val="00645CB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 w:val="1"/>
    <w:rsid w:val="00645CB6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mailto:info@hevizairport.com" TargetMode="External"/><Relationship Id="rId3" Type="http://schemas.openxmlformats.org/officeDocument/2006/relationships/hyperlink" Target="http://www.hevizairport.com" TargetMode="External"/><Relationship Id="rId4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TNec9AV6rw24nrhVHlg0nrveeg==">AMUW2mXU8aIr0137sx9Kv1RyZiJsooWsoxHIPGKreZsL+LegudLVCY7lxmdF/Hbx7Qe8yreI1ptQHpxITo+5ulG6a/6nGL32Wg3gTe2hP0uGoT8T3M7wZagtmRsC1XOmtbISdRlgfpxYR4HwBE3u8NG2NfLjwvaSCA==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2021-11-30T09:39:00Z</dcterms:created>
  <dc:creator>Katinka Bencze-Fekete</dc:creator>
</cp:coreProperties>
</file>